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AD" w:rsidRDefault="002C5BAD" w:rsidP="002C5BAD">
      <w:pPr>
        <w:spacing w:line="240" w:lineRule="auto"/>
        <w:ind w:firstLine="567"/>
        <w:jc w:val="right"/>
        <w:rPr>
          <w:sz w:val="24"/>
          <w:szCs w:val="24"/>
        </w:rPr>
      </w:pPr>
      <w:bookmarkStart w:id="0" w:name="_Toc525549721"/>
    </w:p>
    <w:p w:rsidR="004D5876" w:rsidRDefault="004D5876" w:rsidP="002C5BAD">
      <w:pPr>
        <w:spacing w:line="240" w:lineRule="auto"/>
        <w:jc w:val="center"/>
        <w:rPr>
          <w:b/>
          <w:szCs w:val="28"/>
        </w:rPr>
      </w:pPr>
    </w:p>
    <w:p w:rsidR="002C5BAD" w:rsidRPr="00BF501D" w:rsidRDefault="002C5BAD" w:rsidP="002C5BAD">
      <w:pPr>
        <w:spacing w:line="240" w:lineRule="auto"/>
        <w:jc w:val="center"/>
        <w:rPr>
          <w:b/>
          <w:szCs w:val="28"/>
        </w:rPr>
      </w:pPr>
      <w:r w:rsidRPr="00BF501D">
        <w:rPr>
          <w:b/>
          <w:szCs w:val="28"/>
        </w:rPr>
        <w:t>СОВЕТ АКШИНСКОГО МУНИЦИПАЛЬНОГО ОКРУГА ЗАБАЙКАЛЬСКОГО КРАЯ</w:t>
      </w:r>
    </w:p>
    <w:p w:rsidR="002C5BAD" w:rsidRPr="00BF501D" w:rsidRDefault="002C5BAD" w:rsidP="002C5BAD">
      <w:pPr>
        <w:spacing w:line="240" w:lineRule="auto"/>
        <w:jc w:val="center"/>
        <w:rPr>
          <w:b/>
          <w:szCs w:val="28"/>
        </w:rPr>
      </w:pPr>
    </w:p>
    <w:p w:rsidR="002C5BAD" w:rsidRPr="00BF501D" w:rsidRDefault="002C5BAD" w:rsidP="002C5BAD">
      <w:pPr>
        <w:spacing w:line="240" w:lineRule="auto"/>
        <w:jc w:val="center"/>
        <w:rPr>
          <w:b/>
          <w:szCs w:val="28"/>
        </w:rPr>
      </w:pPr>
    </w:p>
    <w:p w:rsidR="002C5BAD" w:rsidRPr="00BF501D" w:rsidRDefault="002C5BAD" w:rsidP="002C5BAD">
      <w:pPr>
        <w:spacing w:line="240" w:lineRule="auto"/>
        <w:jc w:val="center"/>
        <w:rPr>
          <w:b/>
          <w:szCs w:val="28"/>
        </w:rPr>
      </w:pPr>
      <w:r w:rsidRPr="00BF501D">
        <w:rPr>
          <w:b/>
          <w:szCs w:val="28"/>
        </w:rPr>
        <w:t>РЕШЕНИЕ</w:t>
      </w:r>
    </w:p>
    <w:p w:rsidR="002C5BAD" w:rsidRPr="00BF501D" w:rsidRDefault="002C5BAD" w:rsidP="002C5BAD">
      <w:pPr>
        <w:spacing w:line="240" w:lineRule="auto"/>
        <w:jc w:val="center"/>
        <w:rPr>
          <w:b/>
          <w:szCs w:val="28"/>
        </w:rPr>
      </w:pPr>
    </w:p>
    <w:p w:rsidR="002C5BAD" w:rsidRPr="00BF501D" w:rsidRDefault="004D5876" w:rsidP="004D5876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от 27 февраля 2026 года                                                           </w:t>
      </w:r>
      <w:bookmarkStart w:id="1" w:name="_GoBack"/>
      <w:bookmarkEnd w:id="1"/>
      <w:r>
        <w:rPr>
          <w:b/>
          <w:szCs w:val="28"/>
        </w:rPr>
        <w:t xml:space="preserve">                    №5</w:t>
      </w:r>
    </w:p>
    <w:p w:rsidR="002C5BAD" w:rsidRPr="00BF501D" w:rsidRDefault="002C5BAD" w:rsidP="002C5BAD">
      <w:pPr>
        <w:spacing w:line="240" w:lineRule="auto"/>
        <w:rPr>
          <w:b/>
          <w:szCs w:val="28"/>
        </w:rPr>
      </w:pPr>
    </w:p>
    <w:p w:rsidR="002C5BAD" w:rsidRPr="00BF501D" w:rsidRDefault="002C5BAD" w:rsidP="002C5BAD">
      <w:pPr>
        <w:spacing w:line="240" w:lineRule="auto"/>
        <w:jc w:val="center"/>
        <w:rPr>
          <w:szCs w:val="28"/>
        </w:rPr>
      </w:pPr>
      <w:r w:rsidRPr="00BF501D">
        <w:rPr>
          <w:szCs w:val="28"/>
        </w:rPr>
        <w:t>с. Акша</w:t>
      </w:r>
    </w:p>
    <w:p w:rsidR="002C5BAD" w:rsidRPr="00BF4A32" w:rsidRDefault="002C5BAD" w:rsidP="002C5BAD">
      <w:pPr>
        <w:spacing w:line="240" w:lineRule="auto"/>
        <w:ind w:firstLine="0"/>
        <w:jc w:val="center"/>
      </w:pPr>
    </w:p>
    <w:p w:rsidR="00B6330C" w:rsidRPr="00EB18AA" w:rsidRDefault="00EB18AA" w:rsidP="00EB18AA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>
        <w:rPr>
          <w:b/>
          <w:bCs/>
        </w:rPr>
        <w:t xml:space="preserve">О внесении </w:t>
      </w:r>
      <w:r w:rsidR="004D5876">
        <w:rPr>
          <w:b/>
          <w:bCs/>
        </w:rPr>
        <w:t>изменений в</w:t>
      </w:r>
      <w:r>
        <w:rPr>
          <w:b/>
          <w:bCs/>
        </w:rPr>
        <w:t xml:space="preserve"> решение Совета Акшинского муниципального округа Забайкальского края от 25.12.2023 года № 137 «</w:t>
      </w:r>
      <w:r w:rsidR="00B6330C" w:rsidRPr="00BF4A32">
        <w:rPr>
          <w:b/>
          <w:bCs/>
        </w:rPr>
        <w:t>О</w:t>
      </w:r>
      <w:r w:rsidR="003C3149">
        <w:rPr>
          <w:b/>
          <w:bCs/>
        </w:rPr>
        <w:t xml:space="preserve">б утверждении </w:t>
      </w:r>
      <w:r w:rsidR="004D5876">
        <w:rPr>
          <w:b/>
          <w:bCs/>
        </w:rPr>
        <w:t>Порядка предоставления</w:t>
      </w:r>
      <w:r w:rsidR="002C5BAD">
        <w:rPr>
          <w:b/>
          <w:bCs/>
        </w:rPr>
        <w:t xml:space="preserve"> </w:t>
      </w:r>
      <w:r w:rsidR="00B6330C">
        <w:rPr>
          <w:b/>
          <w:bCs/>
        </w:rPr>
        <w:t xml:space="preserve">субсидий </w:t>
      </w:r>
      <w:bookmarkStart w:id="2" w:name="_Hlk36015918"/>
      <w:r w:rsidR="00B6330C">
        <w:rPr>
          <w:b/>
          <w:bCs/>
        </w:rPr>
        <w:t xml:space="preserve">из бюджета </w:t>
      </w:r>
      <w:r w:rsidR="002C5BAD">
        <w:rPr>
          <w:b/>
          <w:bCs/>
          <w:szCs w:val="28"/>
        </w:rPr>
        <w:t>Акшинского муниципального округа Забайкальского края</w:t>
      </w:r>
      <w:r>
        <w:rPr>
          <w:b/>
          <w:bCs/>
          <w:szCs w:val="28"/>
        </w:rPr>
        <w:t xml:space="preserve"> </w:t>
      </w:r>
      <w:r w:rsidR="00B6330C">
        <w:rPr>
          <w:b/>
          <w:bCs/>
        </w:rPr>
        <w:t>в бюджет другого муниципального образования</w:t>
      </w:r>
      <w:bookmarkEnd w:id="2"/>
      <w:r>
        <w:rPr>
          <w:b/>
          <w:bCs/>
        </w:rPr>
        <w:t>»</w:t>
      </w:r>
    </w:p>
    <w:p w:rsidR="00124035" w:rsidRDefault="00124035" w:rsidP="002C5BAD">
      <w:pPr>
        <w:spacing w:line="240" w:lineRule="auto"/>
      </w:pPr>
    </w:p>
    <w:p w:rsidR="002C5BAD" w:rsidRDefault="002C5BAD" w:rsidP="002C5BAD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740149">
        <w:rPr>
          <w:b w:val="0"/>
          <w:sz w:val="28"/>
          <w:szCs w:val="28"/>
        </w:rPr>
        <w:t>В целях осуществления бюджетных полномочий</w:t>
      </w:r>
      <w:r>
        <w:rPr>
          <w:b w:val="0"/>
          <w:sz w:val="28"/>
          <w:szCs w:val="28"/>
        </w:rPr>
        <w:t xml:space="preserve"> </w:t>
      </w:r>
      <w:r w:rsidRPr="00506800">
        <w:rPr>
          <w:b w:val="0"/>
          <w:sz w:val="28"/>
          <w:szCs w:val="28"/>
        </w:rPr>
        <w:t xml:space="preserve">Акшинского муниципального округа Забайкальского края в соответствии </w:t>
      </w:r>
      <w:r w:rsidRPr="002C5BAD">
        <w:rPr>
          <w:b w:val="0"/>
          <w:sz w:val="28"/>
          <w:szCs w:val="28"/>
        </w:rPr>
        <w:t xml:space="preserve">с пунктом 1 статьи </w:t>
      </w:r>
      <w:r w:rsidR="004D5876" w:rsidRPr="002C5BAD">
        <w:rPr>
          <w:b w:val="0"/>
          <w:sz w:val="28"/>
          <w:szCs w:val="28"/>
        </w:rPr>
        <w:t>142.3</w:t>
      </w:r>
      <w:r w:rsidR="004D5876">
        <w:t xml:space="preserve"> </w:t>
      </w:r>
      <w:r w:rsidR="004D5876" w:rsidRPr="00506800">
        <w:rPr>
          <w:b w:val="0"/>
          <w:sz w:val="28"/>
          <w:szCs w:val="28"/>
        </w:rPr>
        <w:t>Бюджетного</w:t>
      </w:r>
      <w:r w:rsidRPr="00506800">
        <w:rPr>
          <w:b w:val="0"/>
          <w:sz w:val="28"/>
          <w:szCs w:val="28"/>
        </w:rPr>
        <w:t xml:space="preserve"> кодекса Российской Федерации, частью 3 статьи 37 Устава Акшинского муниципального округа Забайкальского края, Совет Акшинского муниципального округа Забайкальского края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B6330C" w:rsidRPr="00BF4A32" w:rsidRDefault="00B6330C" w:rsidP="002C5BAD">
      <w:pPr>
        <w:spacing w:line="240" w:lineRule="auto"/>
      </w:pPr>
    </w:p>
    <w:p w:rsidR="007F63FF" w:rsidRDefault="00B6330C" w:rsidP="007F63FF">
      <w:pPr>
        <w:autoSpaceDE w:val="0"/>
        <w:autoSpaceDN w:val="0"/>
        <w:adjustRightInd w:val="0"/>
        <w:spacing w:line="240" w:lineRule="auto"/>
        <w:rPr>
          <w:bCs/>
        </w:rPr>
      </w:pPr>
      <w:r w:rsidRPr="00BF4A32">
        <w:t xml:space="preserve">1. </w:t>
      </w:r>
      <w:r w:rsidR="007F63FF">
        <w:t xml:space="preserve">Внести </w:t>
      </w:r>
      <w:r w:rsidR="004D5876">
        <w:t>изменения в</w:t>
      </w:r>
      <w:r w:rsidR="007F63FF" w:rsidRPr="007F63FF">
        <w:rPr>
          <w:bCs/>
        </w:rPr>
        <w:t xml:space="preserve"> решение Совета Акшинского муниципального округа Забайкальского края от 25.12.2023 года № 137 «Об утверждении </w:t>
      </w:r>
      <w:proofErr w:type="gramStart"/>
      <w:r w:rsidR="007F63FF" w:rsidRPr="007F63FF">
        <w:rPr>
          <w:bCs/>
        </w:rPr>
        <w:t>порядка  предоставления</w:t>
      </w:r>
      <w:proofErr w:type="gramEnd"/>
      <w:r w:rsidR="007F63FF" w:rsidRPr="007F63FF">
        <w:rPr>
          <w:bCs/>
        </w:rPr>
        <w:t xml:space="preserve"> субсидий из бюджета </w:t>
      </w:r>
      <w:r w:rsidR="007F63FF" w:rsidRPr="007F63FF">
        <w:rPr>
          <w:bCs/>
          <w:szCs w:val="28"/>
        </w:rPr>
        <w:t xml:space="preserve">Акшинского муниципального округа Забайкальского края </w:t>
      </w:r>
      <w:r w:rsidR="007F63FF" w:rsidRPr="007F63FF">
        <w:rPr>
          <w:bCs/>
        </w:rPr>
        <w:t>в бюджет другого муниципального образования»</w:t>
      </w:r>
      <w:r w:rsidR="007F63FF">
        <w:rPr>
          <w:bCs/>
        </w:rPr>
        <w:t>:</w:t>
      </w:r>
    </w:p>
    <w:p w:rsidR="001E27C7" w:rsidRDefault="007F63FF" w:rsidP="007F63FF">
      <w:pPr>
        <w:autoSpaceDE w:val="0"/>
        <w:autoSpaceDN w:val="0"/>
        <w:adjustRightInd w:val="0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1.1. пункт 3 Порядка предоставления субсидий из бюджета из бюджета Акшинского муниципального округа в бюджет другого муниципального </w:t>
      </w:r>
      <w:proofErr w:type="gramStart"/>
      <w:r>
        <w:rPr>
          <w:bCs/>
          <w:szCs w:val="28"/>
        </w:rPr>
        <w:t>образования  изложить</w:t>
      </w:r>
      <w:proofErr w:type="gramEnd"/>
      <w:r>
        <w:rPr>
          <w:bCs/>
          <w:szCs w:val="28"/>
        </w:rPr>
        <w:t xml:space="preserve"> в новой редакции:</w:t>
      </w:r>
    </w:p>
    <w:p w:rsidR="00430650" w:rsidRDefault="007F63FF" w:rsidP="001E27C7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«</w:t>
      </w:r>
      <w:r w:rsidR="001E27C7">
        <w:rPr>
          <w:bCs/>
          <w:szCs w:val="28"/>
        </w:rPr>
        <w:t>3.</w:t>
      </w:r>
      <w:r w:rsidR="00681DBC">
        <w:rPr>
          <w:bCs/>
          <w:szCs w:val="28"/>
        </w:rPr>
        <w:t>Условиями предоставления субсидии являются:</w:t>
      </w:r>
      <w:r w:rsidR="002F22F7">
        <w:rPr>
          <w:bCs/>
          <w:szCs w:val="28"/>
        </w:rPr>
        <w:t xml:space="preserve"> а) наличие правового акта муниципального образования, которому предоставляется субсидия из бюджета Акшинского муниципального округа Забайкальского края, об утверждении перечня мероприятий, в целях софинансирования которых предоставляется субсидия;</w:t>
      </w:r>
      <w:r w:rsidR="00101B80">
        <w:rPr>
          <w:bCs/>
          <w:szCs w:val="28"/>
        </w:rPr>
        <w:t xml:space="preserve"> б</w:t>
      </w:r>
      <w:r w:rsidR="00681DBC">
        <w:rPr>
          <w:bCs/>
          <w:szCs w:val="28"/>
        </w:rPr>
        <w:t>) наличие в бюджете муниципального образования, которому предоставляется субсидия из бюджета Акшинского муниципального округа Забайкальского края, бюджетных ассигнований на исполнение расходных обязательств в объеме, необходимом для их исполнения, включая размер планируемой к предоставлению  из бюджета Акшинского муниципального округа субсидии;</w:t>
      </w:r>
      <w:r w:rsidR="00101B80">
        <w:rPr>
          <w:bCs/>
          <w:szCs w:val="28"/>
        </w:rPr>
        <w:t xml:space="preserve"> в</w:t>
      </w:r>
      <w:r w:rsidR="00681DBC">
        <w:rPr>
          <w:bCs/>
          <w:szCs w:val="28"/>
        </w:rPr>
        <w:t xml:space="preserve">) </w:t>
      </w:r>
      <w:r w:rsidR="004A6533">
        <w:rPr>
          <w:bCs/>
          <w:szCs w:val="28"/>
        </w:rPr>
        <w:t>заключение соглашения  о предоставлении субсидии</w:t>
      </w:r>
      <w:r w:rsidR="00430650">
        <w:rPr>
          <w:bCs/>
          <w:szCs w:val="28"/>
        </w:rPr>
        <w:t>».</w:t>
      </w:r>
    </w:p>
    <w:p w:rsidR="001E27C7" w:rsidRDefault="00430650" w:rsidP="001E27C7">
      <w:pPr>
        <w:autoSpaceDE w:val="0"/>
        <w:autoSpaceDN w:val="0"/>
        <w:adjustRightInd w:val="0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1.2. пункт 5 Порядка предоставления субсидий из бюджета из бюджета Акшинского муниципального округа в бюджет другого муниципального </w:t>
      </w:r>
      <w:proofErr w:type="gramStart"/>
      <w:r>
        <w:rPr>
          <w:bCs/>
          <w:szCs w:val="28"/>
        </w:rPr>
        <w:t>образования  изложить</w:t>
      </w:r>
      <w:proofErr w:type="gramEnd"/>
      <w:r>
        <w:rPr>
          <w:bCs/>
          <w:szCs w:val="28"/>
        </w:rPr>
        <w:t xml:space="preserve"> в новой редакции:</w:t>
      </w:r>
    </w:p>
    <w:p w:rsidR="007F63FF" w:rsidRDefault="00430650" w:rsidP="001E27C7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lastRenderedPageBreak/>
        <w:t>«</w:t>
      </w:r>
      <w:r w:rsidR="001E27C7">
        <w:rPr>
          <w:bCs/>
          <w:szCs w:val="28"/>
        </w:rPr>
        <w:t>5.</w:t>
      </w:r>
      <w:r>
        <w:rPr>
          <w:bCs/>
          <w:szCs w:val="28"/>
        </w:rPr>
        <w:t>Результатами использования субсидии являются: а) достижение конкретного,</w:t>
      </w:r>
      <w:r w:rsidR="00D90248">
        <w:rPr>
          <w:bCs/>
          <w:szCs w:val="28"/>
        </w:rPr>
        <w:t xml:space="preserve"> измеримого результата</w:t>
      </w:r>
      <w:r w:rsidR="007F63FF">
        <w:rPr>
          <w:bCs/>
          <w:szCs w:val="28"/>
        </w:rPr>
        <w:t xml:space="preserve"> </w:t>
      </w:r>
      <w:r w:rsidR="00D90248">
        <w:rPr>
          <w:bCs/>
          <w:szCs w:val="28"/>
        </w:rPr>
        <w:t>(построенный объект, проведенное мероприятие); б) укрепление межмуниципального сотрудничества; в) повышение эффективности использования бюджетных средств; г) соблюдение принципа целевого характера и публичности бюджетных расходов».</w:t>
      </w:r>
    </w:p>
    <w:p w:rsidR="001E27C7" w:rsidRDefault="001E27C7" w:rsidP="001E27C7">
      <w:pPr>
        <w:autoSpaceDE w:val="0"/>
        <w:autoSpaceDN w:val="0"/>
        <w:adjustRightInd w:val="0"/>
        <w:spacing w:line="240" w:lineRule="auto"/>
        <w:ind w:left="284" w:firstLine="284"/>
        <w:rPr>
          <w:bCs/>
          <w:szCs w:val="28"/>
        </w:rPr>
      </w:pPr>
      <w:r>
        <w:rPr>
          <w:bCs/>
          <w:szCs w:val="28"/>
        </w:rPr>
        <w:t>2. Настоящее решение разместить на официальном сайте органов местного самоуправления Акшинского муниципального округа Забайкальского края.</w:t>
      </w:r>
    </w:p>
    <w:p w:rsidR="00D90248" w:rsidRDefault="00D90248" w:rsidP="007F63FF">
      <w:pPr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4D5876" w:rsidRDefault="004D5876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4D5876" w:rsidRDefault="004D5876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D90248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Глава Акшинского муниципального округа</w:t>
      </w:r>
    </w:p>
    <w:p w:rsidR="00D90248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Забайкальского края                                                                                П.М.Капустин</w:t>
      </w:r>
    </w:p>
    <w:p w:rsidR="00D90248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4D5876" w:rsidRDefault="004D5876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D90248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Председатель Совета Акшинского муниципального</w:t>
      </w:r>
    </w:p>
    <w:p w:rsidR="00D90248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округа Забайкальского края                                                                 М.Ю.Вологдина</w:t>
      </w:r>
    </w:p>
    <w:p w:rsidR="00D90248" w:rsidRDefault="00D90248" w:rsidP="007F63FF">
      <w:pPr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D90248" w:rsidRPr="007F63FF" w:rsidRDefault="00D90248" w:rsidP="00D90248">
      <w:pPr>
        <w:autoSpaceDE w:val="0"/>
        <w:autoSpaceDN w:val="0"/>
        <w:adjustRightInd w:val="0"/>
        <w:spacing w:line="240" w:lineRule="auto"/>
        <w:ind w:firstLine="0"/>
        <w:rPr>
          <w:bCs/>
          <w:szCs w:val="28"/>
        </w:rPr>
      </w:pPr>
    </w:p>
    <w:p w:rsidR="002C5BAD" w:rsidRDefault="002C5BAD" w:rsidP="002C5BAD">
      <w:pPr>
        <w:spacing w:line="240" w:lineRule="auto"/>
      </w:pPr>
    </w:p>
    <w:p w:rsidR="00D90248" w:rsidRDefault="00D90248" w:rsidP="002C5BAD">
      <w:pPr>
        <w:spacing w:line="240" w:lineRule="auto"/>
      </w:pPr>
    </w:p>
    <w:bookmarkEnd w:id="0"/>
    <w:p w:rsidR="00D90248" w:rsidRDefault="00D90248" w:rsidP="002C5BAD">
      <w:pPr>
        <w:spacing w:line="240" w:lineRule="auto"/>
      </w:pPr>
    </w:p>
    <w:sectPr w:rsidR="00D90248" w:rsidSect="00124035">
      <w:footerReference w:type="default" r:id="rId8"/>
      <w:pgSz w:w="11907" w:h="16840" w:code="9"/>
      <w:pgMar w:top="567" w:right="851" w:bottom="0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90A" w:rsidRDefault="002E490A">
      <w:r>
        <w:separator/>
      </w:r>
    </w:p>
  </w:endnote>
  <w:endnote w:type="continuationSeparator" w:id="0">
    <w:p w:rsidR="002E490A" w:rsidRDefault="002E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421174"/>
      <w:docPartObj>
        <w:docPartGallery w:val="Page Numbers (Bottom of Page)"/>
        <w:docPartUnique/>
      </w:docPartObj>
    </w:sdtPr>
    <w:sdtEndPr/>
    <w:sdtContent>
      <w:p w:rsidR="00973B35" w:rsidRDefault="003423BC">
        <w:pPr>
          <w:pStyle w:val="af8"/>
          <w:jc w:val="right"/>
        </w:pPr>
        <w:r>
          <w:fldChar w:fldCharType="begin"/>
        </w:r>
        <w:r w:rsidR="00973B35">
          <w:instrText>PAGE   \* MERGEFORMAT</w:instrText>
        </w:r>
        <w:r>
          <w:fldChar w:fldCharType="separate"/>
        </w:r>
        <w:r w:rsidR="004D5876">
          <w:rPr>
            <w:noProof/>
          </w:rPr>
          <w:t>1</w:t>
        </w:r>
        <w:r>
          <w:fldChar w:fldCharType="end"/>
        </w:r>
      </w:p>
    </w:sdtContent>
  </w:sdt>
  <w:p w:rsidR="00973B35" w:rsidRDefault="00973B3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90A" w:rsidRDefault="002E490A">
      <w:r>
        <w:separator/>
      </w:r>
    </w:p>
  </w:footnote>
  <w:footnote w:type="continuationSeparator" w:id="0">
    <w:p w:rsidR="002E490A" w:rsidRDefault="002E490A">
      <w:r>
        <w:continuationSeparator/>
      </w:r>
    </w:p>
  </w:footnote>
  <w:footnote w:type="continuationNotice" w:id="1">
    <w:p w:rsidR="002E490A" w:rsidRDefault="002E49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F5E2F07"/>
    <w:multiLevelType w:val="hybridMultilevel"/>
    <w:tmpl w:val="1FF67A26"/>
    <w:lvl w:ilvl="0" w:tplc="BE58C27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A40"/>
    <w:rsid w:val="00010C75"/>
    <w:rsid w:val="00010E0B"/>
    <w:rsid w:val="00011B79"/>
    <w:rsid w:val="0001223F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CD7"/>
    <w:rsid w:val="00050E4C"/>
    <w:rsid w:val="00051039"/>
    <w:rsid w:val="0005125C"/>
    <w:rsid w:val="0005182B"/>
    <w:rsid w:val="00052547"/>
    <w:rsid w:val="00052A87"/>
    <w:rsid w:val="00053037"/>
    <w:rsid w:val="000530E4"/>
    <w:rsid w:val="0005330C"/>
    <w:rsid w:val="00053A56"/>
    <w:rsid w:val="00053EBE"/>
    <w:rsid w:val="00055C3F"/>
    <w:rsid w:val="00055E4B"/>
    <w:rsid w:val="00056B06"/>
    <w:rsid w:val="000578CF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6CDA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135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699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1B80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6F3C"/>
    <w:rsid w:val="001074EA"/>
    <w:rsid w:val="00107BA2"/>
    <w:rsid w:val="00107D3D"/>
    <w:rsid w:val="00110062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035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906C2"/>
    <w:rsid w:val="00190ACC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7C7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5DEC"/>
    <w:rsid w:val="00216314"/>
    <w:rsid w:val="002165E7"/>
    <w:rsid w:val="0021665C"/>
    <w:rsid w:val="00217151"/>
    <w:rsid w:val="0021753D"/>
    <w:rsid w:val="00217566"/>
    <w:rsid w:val="00217574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5BAD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8F"/>
    <w:rsid w:val="002E3DD2"/>
    <w:rsid w:val="002E3E41"/>
    <w:rsid w:val="002E430B"/>
    <w:rsid w:val="002E4408"/>
    <w:rsid w:val="002E490A"/>
    <w:rsid w:val="002E4DB9"/>
    <w:rsid w:val="002E53D2"/>
    <w:rsid w:val="002E55F7"/>
    <w:rsid w:val="002E5AC4"/>
    <w:rsid w:val="002E5E71"/>
    <w:rsid w:val="002E6364"/>
    <w:rsid w:val="002E6749"/>
    <w:rsid w:val="002E7EFE"/>
    <w:rsid w:val="002F0292"/>
    <w:rsid w:val="002F0617"/>
    <w:rsid w:val="002F0CB4"/>
    <w:rsid w:val="002F18E1"/>
    <w:rsid w:val="002F1A21"/>
    <w:rsid w:val="002F22F7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508"/>
    <w:rsid w:val="00341728"/>
    <w:rsid w:val="00341ED9"/>
    <w:rsid w:val="00342187"/>
    <w:rsid w:val="00342208"/>
    <w:rsid w:val="003423BC"/>
    <w:rsid w:val="00342CEA"/>
    <w:rsid w:val="00343106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3F0E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ADE"/>
    <w:rsid w:val="003B4F1B"/>
    <w:rsid w:val="003B507E"/>
    <w:rsid w:val="003B528F"/>
    <w:rsid w:val="003B5984"/>
    <w:rsid w:val="003B60EE"/>
    <w:rsid w:val="003B60FA"/>
    <w:rsid w:val="003B69B5"/>
    <w:rsid w:val="003B742A"/>
    <w:rsid w:val="003C01E5"/>
    <w:rsid w:val="003C034D"/>
    <w:rsid w:val="003C1D71"/>
    <w:rsid w:val="003C1E36"/>
    <w:rsid w:val="003C27EA"/>
    <w:rsid w:val="003C3149"/>
    <w:rsid w:val="003C31D3"/>
    <w:rsid w:val="003C4BCC"/>
    <w:rsid w:val="003C52BC"/>
    <w:rsid w:val="003C5566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2D50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0650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D99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6533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5876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57D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64E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B42"/>
    <w:rsid w:val="00662D46"/>
    <w:rsid w:val="006630EC"/>
    <w:rsid w:val="006635C4"/>
    <w:rsid w:val="00663844"/>
    <w:rsid w:val="00663944"/>
    <w:rsid w:val="00664591"/>
    <w:rsid w:val="00664DD2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1DBC"/>
    <w:rsid w:val="0068206B"/>
    <w:rsid w:val="006820DD"/>
    <w:rsid w:val="006829CF"/>
    <w:rsid w:val="00682E1F"/>
    <w:rsid w:val="006836A9"/>
    <w:rsid w:val="006837A6"/>
    <w:rsid w:val="0068486C"/>
    <w:rsid w:val="00684F0C"/>
    <w:rsid w:val="00685435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6BE"/>
    <w:rsid w:val="00742A29"/>
    <w:rsid w:val="00742A2A"/>
    <w:rsid w:val="00742D9C"/>
    <w:rsid w:val="0074407D"/>
    <w:rsid w:val="00744157"/>
    <w:rsid w:val="00744797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5838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3FF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011E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03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5D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610C"/>
    <w:rsid w:val="008C742B"/>
    <w:rsid w:val="008C7715"/>
    <w:rsid w:val="008D0009"/>
    <w:rsid w:val="008D1CA4"/>
    <w:rsid w:val="008D1EFF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0936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699"/>
    <w:rsid w:val="00964816"/>
    <w:rsid w:val="00965493"/>
    <w:rsid w:val="00965A0D"/>
    <w:rsid w:val="00965ABA"/>
    <w:rsid w:val="00965B35"/>
    <w:rsid w:val="00965C43"/>
    <w:rsid w:val="00966CE1"/>
    <w:rsid w:val="009676BD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D6E"/>
    <w:rsid w:val="009B20AB"/>
    <w:rsid w:val="009B2793"/>
    <w:rsid w:val="009B2E88"/>
    <w:rsid w:val="009B34E1"/>
    <w:rsid w:val="009B3561"/>
    <w:rsid w:val="009B3586"/>
    <w:rsid w:val="009B3F2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20D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E6D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7A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2EF7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0E9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1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6C6B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989"/>
    <w:rsid w:val="00BB4DE1"/>
    <w:rsid w:val="00BB4F1D"/>
    <w:rsid w:val="00BB50D6"/>
    <w:rsid w:val="00BB51F4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6FA1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3B6B"/>
    <w:rsid w:val="00C93D79"/>
    <w:rsid w:val="00C93FF2"/>
    <w:rsid w:val="00C94546"/>
    <w:rsid w:val="00C94C77"/>
    <w:rsid w:val="00C94E87"/>
    <w:rsid w:val="00C950F2"/>
    <w:rsid w:val="00C954BA"/>
    <w:rsid w:val="00C958A4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8F1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0AD"/>
    <w:rsid w:val="00D44961"/>
    <w:rsid w:val="00D44989"/>
    <w:rsid w:val="00D44B06"/>
    <w:rsid w:val="00D45136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248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41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7DA"/>
    <w:rsid w:val="00DF3A06"/>
    <w:rsid w:val="00DF3D68"/>
    <w:rsid w:val="00DF3F4F"/>
    <w:rsid w:val="00DF4E34"/>
    <w:rsid w:val="00DF544D"/>
    <w:rsid w:val="00DF5F61"/>
    <w:rsid w:val="00DF6082"/>
    <w:rsid w:val="00DF66FA"/>
    <w:rsid w:val="00DF670F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EB"/>
    <w:rsid w:val="00E17AA7"/>
    <w:rsid w:val="00E202E6"/>
    <w:rsid w:val="00E20649"/>
    <w:rsid w:val="00E20E70"/>
    <w:rsid w:val="00E21FBB"/>
    <w:rsid w:val="00E22517"/>
    <w:rsid w:val="00E225BC"/>
    <w:rsid w:val="00E22A10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3C4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0BA0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18AA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0DFC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E2B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F7D"/>
    <w:rsid w:val="00F96279"/>
    <w:rsid w:val="00F96EB0"/>
    <w:rsid w:val="00F96EC2"/>
    <w:rsid w:val="00F974D1"/>
    <w:rsid w:val="00F97660"/>
    <w:rsid w:val="00F976A9"/>
    <w:rsid w:val="00FA0B4E"/>
    <w:rsid w:val="00FA11E9"/>
    <w:rsid w:val="00FA2415"/>
    <w:rsid w:val="00FA2C0E"/>
    <w:rsid w:val="00FA325A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1872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7B0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0CAD4-C924-4BC0-B669-D21DEAD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1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4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5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6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953E1FF1-2CA2-4607-B210-632DF24E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IRU</cp:lastModifiedBy>
  <cp:revision>10</cp:revision>
  <cp:lastPrinted>2026-02-27T05:50:00Z</cp:lastPrinted>
  <dcterms:created xsi:type="dcterms:W3CDTF">2026-01-27T12:06:00Z</dcterms:created>
  <dcterms:modified xsi:type="dcterms:W3CDTF">2026-02-27T05:50:00Z</dcterms:modified>
</cp:coreProperties>
</file>